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768"/>
        <w:gridCol w:w="2160"/>
      </w:tblGrid>
      <w:tr w:rsidR="00AF0676" w:rsidRPr="005B558D" w14:paraId="4B1F29DC" w14:textId="77777777" w:rsidTr="005B558D">
        <w:tc>
          <w:tcPr>
            <w:tcW w:w="2160" w:type="dxa"/>
          </w:tcPr>
          <w:p w14:paraId="1041D426" w14:textId="23890EB5" w:rsidR="00AF0676" w:rsidRPr="005B558D" w:rsidRDefault="00312B8C" w:rsidP="00746C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558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3E60E950" wp14:editId="688A7A7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90805</wp:posOffset>
                  </wp:positionV>
                  <wp:extent cx="1057275" cy="1057275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8" w:type="dxa"/>
            <w:vAlign w:val="center"/>
          </w:tcPr>
          <w:p w14:paraId="487471BF" w14:textId="77777777" w:rsidR="00FC4DFC" w:rsidRPr="005B558D" w:rsidRDefault="00FC4DFC" w:rsidP="005B558D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B558D">
              <w:rPr>
                <w:rFonts w:ascii="Arial" w:hAnsi="Arial" w:cs="Arial"/>
                <w:bCs/>
                <w:sz w:val="16"/>
                <w:szCs w:val="16"/>
              </w:rPr>
              <w:t xml:space="preserve">Sponsored by AYSO </w:t>
            </w:r>
            <w:r w:rsidR="00F64771">
              <w:rPr>
                <w:rFonts w:ascii="Arial" w:hAnsi="Arial" w:cs="Arial"/>
                <w:bCs/>
                <w:sz w:val="16"/>
                <w:szCs w:val="16"/>
              </w:rPr>
              <w:t>Region 180 Santa Ynez, California</w:t>
            </w:r>
          </w:p>
          <w:p w14:paraId="363C9237" w14:textId="77777777" w:rsidR="00FC4DFC" w:rsidRPr="005B558D" w:rsidRDefault="00FC4DFC" w:rsidP="005B558D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C21C0D" w14:textId="77777777" w:rsidR="00AF0676" w:rsidRPr="001C6020" w:rsidRDefault="00F64771" w:rsidP="005B558D">
            <w:pPr>
              <w:jc w:val="center"/>
              <w:rPr>
                <w:rFonts w:ascii="Arial" w:hAnsi="Arial" w:cs="Arial"/>
                <w:b/>
                <w:bCs/>
                <w:sz w:val="32"/>
                <w:lang w:val="es-ES"/>
              </w:rPr>
            </w:pPr>
            <w:r w:rsidRPr="001C6020">
              <w:rPr>
                <w:rFonts w:ascii="Arial" w:hAnsi="Arial" w:cs="Arial"/>
                <w:b/>
                <w:bCs/>
                <w:sz w:val="32"/>
                <w:lang w:val="es-ES"/>
              </w:rPr>
              <w:t xml:space="preserve">Santa </w:t>
            </w:r>
            <w:proofErr w:type="spellStart"/>
            <w:r w:rsidRPr="001C6020">
              <w:rPr>
                <w:rFonts w:ascii="Arial" w:hAnsi="Arial" w:cs="Arial"/>
                <w:b/>
                <w:bCs/>
                <w:sz w:val="32"/>
                <w:lang w:val="es-ES"/>
              </w:rPr>
              <w:t>Ynez</w:t>
            </w:r>
            <w:proofErr w:type="spellEnd"/>
            <w:r w:rsidRPr="001C6020">
              <w:rPr>
                <w:rFonts w:ascii="Arial" w:hAnsi="Arial" w:cs="Arial"/>
                <w:b/>
                <w:bCs/>
                <w:sz w:val="32"/>
                <w:lang w:val="es-ES"/>
              </w:rPr>
              <w:t xml:space="preserve"> A.Y.S.O.  </w:t>
            </w:r>
            <w:proofErr w:type="spellStart"/>
            <w:r w:rsidRPr="001C6020">
              <w:rPr>
                <w:rFonts w:ascii="Arial" w:hAnsi="Arial" w:cs="Arial"/>
                <w:b/>
                <w:bCs/>
                <w:sz w:val="32"/>
                <w:lang w:val="es-ES"/>
              </w:rPr>
              <w:t>Region</w:t>
            </w:r>
            <w:proofErr w:type="spellEnd"/>
            <w:r w:rsidRPr="001C6020">
              <w:rPr>
                <w:rFonts w:ascii="Arial" w:hAnsi="Arial" w:cs="Arial"/>
                <w:b/>
                <w:bCs/>
                <w:sz w:val="32"/>
                <w:lang w:val="es-ES"/>
              </w:rPr>
              <w:t xml:space="preserve"> 180</w:t>
            </w:r>
          </w:p>
          <w:p w14:paraId="4DBAF0EB" w14:textId="50D5646E" w:rsidR="00F64771" w:rsidRPr="005B558D" w:rsidRDefault="00B13635" w:rsidP="005B558D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202</w:t>
            </w:r>
            <w:r w:rsidR="001B3171">
              <w:rPr>
                <w:rFonts w:ascii="Arial" w:hAnsi="Arial" w:cs="Arial"/>
                <w:b/>
                <w:bCs/>
                <w:sz w:val="32"/>
              </w:rPr>
              <w:t>5</w:t>
            </w:r>
            <w:r w:rsidR="00F64771">
              <w:rPr>
                <w:rFonts w:ascii="Arial" w:hAnsi="Arial" w:cs="Arial"/>
                <w:b/>
                <w:bCs/>
                <w:sz w:val="32"/>
              </w:rPr>
              <w:t xml:space="preserve"> Winter Classic</w:t>
            </w:r>
          </w:p>
          <w:p w14:paraId="17B94B2E" w14:textId="77777777" w:rsidR="00AF0676" w:rsidRPr="005B558D" w:rsidRDefault="00AF0676" w:rsidP="005B55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85D517" w14:textId="77777777" w:rsidR="00AF0676" w:rsidRPr="005B558D" w:rsidRDefault="00AF0676" w:rsidP="00AF0676">
            <w:pPr>
              <w:pStyle w:val="Heading1"/>
              <w:rPr>
                <w:rFonts w:ascii="Arial" w:hAnsi="Arial" w:cs="Arial"/>
              </w:rPr>
            </w:pPr>
            <w:r w:rsidRPr="005B558D">
              <w:rPr>
                <w:rFonts w:ascii="Arial" w:hAnsi="Arial" w:cs="Arial"/>
              </w:rPr>
              <w:t>Team Invitation</w:t>
            </w:r>
          </w:p>
        </w:tc>
        <w:tc>
          <w:tcPr>
            <w:tcW w:w="2160" w:type="dxa"/>
            <w:vAlign w:val="center"/>
          </w:tcPr>
          <w:p w14:paraId="05E55CA0" w14:textId="046F45CC" w:rsidR="00AF0676" w:rsidRPr="00312B8C" w:rsidRDefault="00312B8C" w:rsidP="00312B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558D"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26E37935" wp14:editId="352C6D71">
                  <wp:extent cx="12382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5BE8F" w14:textId="77777777" w:rsidR="00AF0676" w:rsidRPr="00F531EA" w:rsidRDefault="00AF0676" w:rsidP="004F5D1D">
      <w:pPr>
        <w:jc w:val="center"/>
        <w:rPr>
          <w:rFonts w:ascii="Arial" w:hAnsi="Arial" w:cs="Arial"/>
          <w:bCs/>
          <w:sz w:val="20"/>
          <w:szCs w:val="20"/>
        </w:rPr>
      </w:pPr>
    </w:p>
    <w:p w14:paraId="398DF274" w14:textId="47EE3361" w:rsidR="00BE6AF8" w:rsidRDefault="006660CA" w:rsidP="00435C33">
      <w:pPr>
        <w:rPr>
          <w:rFonts w:ascii="Arial" w:hAnsi="Arial" w:cs="Arial"/>
          <w:sz w:val="20"/>
          <w:szCs w:val="20"/>
        </w:rPr>
      </w:pPr>
      <w:r w:rsidRPr="004F5D1D">
        <w:rPr>
          <w:rFonts w:ascii="Arial" w:hAnsi="Arial" w:cs="Arial"/>
          <w:sz w:val="20"/>
          <w:szCs w:val="20"/>
        </w:rPr>
        <w:t>Hello Coaches!</w:t>
      </w:r>
      <w:r w:rsidR="00435C33">
        <w:rPr>
          <w:rFonts w:ascii="Arial" w:hAnsi="Arial" w:cs="Arial"/>
          <w:sz w:val="20"/>
          <w:szCs w:val="20"/>
        </w:rPr>
        <w:t xml:space="preserve"> </w:t>
      </w:r>
    </w:p>
    <w:p w14:paraId="7D6FDFEB" w14:textId="77777777" w:rsidR="00BE6AF8" w:rsidRDefault="00BE6AF8" w:rsidP="00435C33">
      <w:pPr>
        <w:rPr>
          <w:rFonts w:ascii="Arial" w:hAnsi="Arial" w:cs="Arial"/>
          <w:sz w:val="20"/>
          <w:szCs w:val="20"/>
        </w:rPr>
      </w:pPr>
    </w:p>
    <w:p w14:paraId="3767079C" w14:textId="711B2940" w:rsidR="001308C4" w:rsidRDefault="001308C4" w:rsidP="00435C33">
      <w:pPr>
        <w:rPr>
          <w:rFonts w:ascii="Arial" w:hAnsi="Arial" w:cs="Arial"/>
          <w:sz w:val="20"/>
          <w:szCs w:val="20"/>
        </w:rPr>
      </w:pPr>
      <w:r w:rsidRPr="004F5D1D">
        <w:rPr>
          <w:rFonts w:ascii="Arial" w:hAnsi="Arial" w:cs="Arial"/>
          <w:sz w:val="20"/>
          <w:szCs w:val="20"/>
        </w:rPr>
        <w:t>AYSO Region 1</w:t>
      </w:r>
      <w:r w:rsidR="00F64771">
        <w:rPr>
          <w:rFonts w:ascii="Arial" w:hAnsi="Arial" w:cs="Arial"/>
          <w:sz w:val="20"/>
          <w:szCs w:val="20"/>
        </w:rPr>
        <w:t>80</w:t>
      </w:r>
      <w:r w:rsidRPr="004F5D1D">
        <w:rPr>
          <w:rFonts w:ascii="Arial" w:hAnsi="Arial" w:cs="Arial"/>
          <w:sz w:val="20"/>
          <w:szCs w:val="20"/>
        </w:rPr>
        <w:t xml:space="preserve"> is p</w:t>
      </w:r>
      <w:r w:rsidR="00F64771">
        <w:rPr>
          <w:rFonts w:ascii="Arial" w:hAnsi="Arial" w:cs="Arial"/>
          <w:sz w:val="20"/>
          <w:szCs w:val="20"/>
        </w:rPr>
        <w:t>leased</w:t>
      </w:r>
      <w:r w:rsidRPr="004F5D1D">
        <w:rPr>
          <w:rFonts w:ascii="Arial" w:hAnsi="Arial" w:cs="Arial"/>
          <w:sz w:val="20"/>
          <w:szCs w:val="20"/>
        </w:rPr>
        <w:t xml:space="preserve"> to invite you</w:t>
      </w:r>
      <w:r w:rsidR="00F531EA" w:rsidRPr="004F5D1D">
        <w:rPr>
          <w:rFonts w:ascii="Arial" w:hAnsi="Arial" w:cs="Arial"/>
          <w:sz w:val="20"/>
          <w:szCs w:val="20"/>
        </w:rPr>
        <w:t>r team</w:t>
      </w:r>
      <w:r w:rsidRPr="004F5D1D">
        <w:rPr>
          <w:rFonts w:ascii="Arial" w:hAnsi="Arial" w:cs="Arial"/>
          <w:sz w:val="20"/>
          <w:szCs w:val="20"/>
        </w:rPr>
        <w:t xml:space="preserve"> to the </w:t>
      </w:r>
      <w:r w:rsidR="00B13635">
        <w:rPr>
          <w:rFonts w:ascii="Arial" w:hAnsi="Arial" w:cs="Arial"/>
          <w:sz w:val="20"/>
          <w:szCs w:val="20"/>
        </w:rPr>
        <w:t>202</w:t>
      </w:r>
      <w:r w:rsidR="001B3171">
        <w:rPr>
          <w:rFonts w:ascii="Arial" w:hAnsi="Arial" w:cs="Arial"/>
          <w:sz w:val="20"/>
          <w:szCs w:val="20"/>
        </w:rPr>
        <w:t>5</w:t>
      </w:r>
      <w:r w:rsidR="00F64771">
        <w:rPr>
          <w:rFonts w:ascii="Arial" w:hAnsi="Arial" w:cs="Arial"/>
          <w:sz w:val="20"/>
          <w:szCs w:val="20"/>
        </w:rPr>
        <w:t xml:space="preserve"> Santa Ynez Winter Classic an AYSO Invitational</w:t>
      </w:r>
      <w:r w:rsidRPr="004F5D1D">
        <w:rPr>
          <w:rFonts w:ascii="Arial" w:hAnsi="Arial" w:cs="Arial"/>
          <w:sz w:val="20"/>
          <w:szCs w:val="20"/>
        </w:rPr>
        <w:t xml:space="preserve"> Tournament</w:t>
      </w:r>
    </w:p>
    <w:p w14:paraId="04467EF1" w14:textId="77777777" w:rsidR="00435C33" w:rsidRPr="004F5D1D" w:rsidRDefault="00435C33" w:rsidP="00435C3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3"/>
        <w:gridCol w:w="9257"/>
      </w:tblGrid>
      <w:tr w:rsidR="00472D57" w:rsidRPr="00BE6AF8" w14:paraId="204289CE" w14:textId="77777777" w:rsidTr="001C6020">
        <w:tc>
          <w:tcPr>
            <w:tcW w:w="1543" w:type="dxa"/>
          </w:tcPr>
          <w:p w14:paraId="069BBA80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9257" w:type="dxa"/>
          </w:tcPr>
          <w:p w14:paraId="1F4E7746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AYSO Invitational – open to AYSO teams from all Sections.</w:t>
            </w:r>
          </w:p>
        </w:tc>
      </w:tr>
      <w:tr w:rsidR="00472D57" w:rsidRPr="00BE6AF8" w14:paraId="4FEF9809" w14:textId="77777777" w:rsidTr="001C6020">
        <w:tc>
          <w:tcPr>
            <w:tcW w:w="1543" w:type="dxa"/>
          </w:tcPr>
          <w:p w14:paraId="33AD615A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9257" w:type="dxa"/>
          </w:tcPr>
          <w:p w14:paraId="1D7C9868" w14:textId="661E2840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Saturday &amp; Sunday,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January </w:t>
            </w:r>
            <w:r w:rsidR="001B317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1B3171" w:rsidRPr="001B317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B31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19</w:t>
            </w:r>
            <w:proofErr w:type="gramStart"/>
            <w:r w:rsidR="001B3171" w:rsidRPr="001B317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B31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1B31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proofErr w:type="gramEnd"/>
          </w:p>
        </w:tc>
      </w:tr>
      <w:tr w:rsidR="00472D57" w:rsidRPr="00BE6AF8" w14:paraId="181E23C2" w14:textId="77777777" w:rsidTr="001C6020">
        <w:tc>
          <w:tcPr>
            <w:tcW w:w="1543" w:type="dxa"/>
          </w:tcPr>
          <w:p w14:paraId="35A86B56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Where:</w:t>
            </w:r>
          </w:p>
        </w:tc>
        <w:tc>
          <w:tcPr>
            <w:tcW w:w="9257" w:type="dxa"/>
          </w:tcPr>
          <w:p w14:paraId="192A8275" w14:textId="0A026A1C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The tournament will be held at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Santa Ynez Elementary</w:t>
            </w:r>
            <w:r w:rsidR="00BA3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and Dunn Schoo</w:t>
            </w:r>
            <w:r w:rsidR="00BA339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14:paraId="0EDB8F89" w14:textId="77777777" w:rsidR="00F64771" w:rsidRPr="00BE6AF8" w:rsidRDefault="00F64771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No pets or </w:t>
            </w:r>
            <w:proofErr w:type="gramStart"/>
            <w:r w:rsidRPr="00BE6A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BBQ’s</w:t>
            </w:r>
            <w:proofErr w:type="gramEnd"/>
            <w:r w:rsidRPr="00BE6A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allowed at any fields.</w:t>
            </w:r>
          </w:p>
        </w:tc>
      </w:tr>
      <w:tr w:rsidR="00472D57" w:rsidRPr="00BE6AF8" w14:paraId="27167E72" w14:textId="77777777" w:rsidTr="001C6020">
        <w:tc>
          <w:tcPr>
            <w:tcW w:w="1543" w:type="dxa"/>
          </w:tcPr>
          <w:p w14:paraId="574E8AAA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9257" w:type="dxa"/>
          </w:tcPr>
          <w:p w14:paraId="7B2A76A4" w14:textId="0392C21F" w:rsidR="00472D57" w:rsidRPr="00BE6AF8" w:rsidRDefault="00AF0676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Pool </w:t>
            </w:r>
            <w:proofErr w:type="gramStart"/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play</w:t>
            </w:r>
            <w:proofErr w:type="gramEnd"/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tournament. </w:t>
            </w:r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Each team will be guaranteed 3 games in pool play. The top teams will advance to the medal round on Sunday afternoon. All 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pool play </w:t>
            </w:r>
            <w:r w:rsidR="00472D5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games will be as follows: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10U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/14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U -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64771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 Medal rounds will be: 10U – 25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halves, 12U/14U – 30 min</w:t>
            </w:r>
            <w:r w:rsidR="00BE6AF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halves.</w:t>
            </w:r>
          </w:p>
        </w:tc>
      </w:tr>
      <w:tr w:rsidR="00472D57" w:rsidRPr="00BE6AF8" w14:paraId="77BAA6C5" w14:textId="77777777" w:rsidTr="001C6020">
        <w:tc>
          <w:tcPr>
            <w:tcW w:w="1543" w:type="dxa"/>
          </w:tcPr>
          <w:p w14:paraId="24FDA179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Why:</w:t>
            </w:r>
          </w:p>
        </w:tc>
        <w:tc>
          <w:tcPr>
            <w:tcW w:w="9257" w:type="dxa"/>
          </w:tcPr>
          <w:p w14:paraId="3128726E" w14:textId="612DE75E" w:rsidR="00472D57" w:rsidRPr="00BE6AF8" w:rsidRDefault="00F64771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Santa Ynez Winter Classic Tournament is being conducted as a fundraiser by </w:t>
            </w:r>
            <w:proofErr w:type="gramStart"/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  <w:proofErr w:type="gramEnd"/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180 to raise funds for 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ield 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evelopment, equipment and maintenance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provide scholarship funds</w:t>
            </w:r>
            <w:r w:rsidR="00435C33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to assist travel teams for Region 180.</w:t>
            </w:r>
          </w:p>
        </w:tc>
      </w:tr>
      <w:tr w:rsidR="00472D57" w:rsidRPr="00BE6AF8" w14:paraId="77117EE1" w14:textId="77777777" w:rsidTr="001C6020">
        <w:tc>
          <w:tcPr>
            <w:tcW w:w="1543" w:type="dxa"/>
          </w:tcPr>
          <w:p w14:paraId="4E9CD857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Awards:</w:t>
            </w:r>
          </w:p>
        </w:tc>
        <w:tc>
          <w:tcPr>
            <w:tcW w:w="9257" w:type="dxa"/>
          </w:tcPr>
          <w:p w14:paraId="72245659" w14:textId="3911FCEF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All players and 2 coaches per team will receive a tournament pin. All players on the 1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2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3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&amp; 4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place teams will receive a trophy or medal.</w:t>
            </w:r>
          </w:p>
        </w:tc>
      </w:tr>
      <w:tr w:rsidR="00472D57" w:rsidRPr="00BE6AF8" w14:paraId="14B39A60" w14:textId="77777777" w:rsidTr="001C6020">
        <w:tc>
          <w:tcPr>
            <w:tcW w:w="1543" w:type="dxa"/>
          </w:tcPr>
          <w:p w14:paraId="753D62F7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Entry Fee</w:t>
            </w:r>
            <w:r w:rsidR="00AF0676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Refunds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57" w:type="dxa"/>
          </w:tcPr>
          <w:p w14:paraId="4F0A86DB" w14:textId="11E98A66" w:rsidR="00472D57" w:rsidRPr="00BE6AF8" w:rsidRDefault="00F64771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14U $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 per team plu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>s $250 referee deposit. Total $90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61E45367" w14:textId="140AAB6F" w:rsidR="00F64771" w:rsidRPr="00BE6AF8" w:rsidRDefault="00F64771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12U $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 per team plus</w:t>
            </w:r>
            <w:r w:rsidR="00627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$250 referee deposit.  Total $90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0F607A13" w14:textId="41090C77" w:rsidR="00F64771" w:rsidRPr="00BE6AF8" w:rsidRDefault="00F64771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10U $5</w:t>
            </w:r>
            <w:r w:rsidR="0011717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 per team plus $250 referee deposit.  Total $</w:t>
            </w:r>
            <w:r w:rsidR="0011717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7D1AB02" w14:textId="77777777" w:rsidR="00BE6AF8" w:rsidRPr="00BE6AF8" w:rsidRDefault="00BE6AF8" w:rsidP="00BE6AF8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7F4B6" w14:textId="4B9A7334" w:rsidR="00F64771" w:rsidRPr="00BE6AF8" w:rsidRDefault="00F64771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full refund 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be issued if tournament is canceled and cannot be rescheduled.  If a team withdraws 30 or more days before the tournament a full refund is given.  Within 30 days of the tournament, no refund is provided unless a replacement team is found.  </w:t>
            </w:r>
          </w:p>
        </w:tc>
      </w:tr>
      <w:tr w:rsidR="00472D57" w:rsidRPr="00BE6AF8" w14:paraId="2BCCEF5C" w14:textId="77777777" w:rsidTr="001C6020">
        <w:tc>
          <w:tcPr>
            <w:tcW w:w="1543" w:type="dxa"/>
          </w:tcPr>
          <w:p w14:paraId="49360774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Referee Fee</w:t>
            </w:r>
            <w:r w:rsidR="00AF0676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, Refunds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57" w:type="dxa"/>
          </w:tcPr>
          <w:p w14:paraId="38C8CEEC" w14:textId="6A57810B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50, refundable within </w:t>
            </w:r>
            <w:r w:rsidR="00F65D6B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D2DA7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days of the tournament, if referee assignments have been completed. Each team is </w:t>
            </w:r>
            <w:r w:rsidR="001B3171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provide a qualified 3-person referee team to cover </w:t>
            </w:r>
            <w:r w:rsidR="001B31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</w:t>
            </w:r>
            <w:r w:rsidR="002747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least 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3 games during the tournament. Partial refunds will be given based upon the number of game slots completed.</w:t>
            </w:r>
          </w:p>
          <w:p w14:paraId="0AB70F27" w14:textId="740771D6" w:rsidR="00222CA8" w:rsidRPr="00BE6AF8" w:rsidRDefault="00222CA8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All </w:t>
            </w:r>
            <w:r w:rsidR="00435C33"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</w:t>
            </w: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eferees </w:t>
            </w:r>
            <w:r w:rsidR="00435C33"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</w:t>
            </w: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ust be in an Official Full Uniform No Exceptions will be </w:t>
            </w:r>
            <w:r w:rsidR="00435C33"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</w:t>
            </w:r>
            <w:r w:rsidRPr="00BE6A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olerated.</w:t>
            </w:r>
          </w:p>
        </w:tc>
      </w:tr>
      <w:tr w:rsidR="00F531EA" w:rsidRPr="00BE6AF8" w14:paraId="554E3388" w14:textId="77777777" w:rsidTr="001C6020">
        <w:tc>
          <w:tcPr>
            <w:tcW w:w="1543" w:type="dxa"/>
          </w:tcPr>
          <w:p w14:paraId="70076BFE" w14:textId="77777777" w:rsidR="00F531EA" w:rsidRPr="00BE6AF8" w:rsidRDefault="00F531EA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Rules:</w:t>
            </w:r>
          </w:p>
        </w:tc>
        <w:tc>
          <w:tcPr>
            <w:tcW w:w="9257" w:type="dxa"/>
          </w:tcPr>
          <w:p w14:paraId="67C6EBBA" w14:textId="77777777" w:rsidR="00F531EA" w:rsidRPr="00BE6AF8" w:rsidRDefault="00F531EA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 full set of tournament rules are posted on the tournament website.</w:t>
            </w:r>
          </w:p>
        </w:tc>
      </w:tr>
      <w:tr w:rsidR="00472D57" w:rsidRPr="00BE6AF8" w14:paraId="383A270E" w14:textId="77777777" w:rsidTr="001C6020">
        <w:tc>
          <w:tcPr>
            <w:tcW w:w="1543" w:type="dxa"/>
          </w:tcPr>
          <w:p w14:paraId="341BD700" w14:textId="77777777" w:rsidR="00472D57" w:rsidRPr="00BE6AF8" w:rsidRDefault="00F531EA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Acceptance:</w:t>
            </w:r>
          </w:p>
        </w:tc>
        <w:tc>
          <w:tcPr>
            <w:tcW w:w="9257" w:type="dxa"/>
          </w:tcPr>
          <w:p w14:paraId="2B13F8BD" w14:textId="28197A3E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application deadline is 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January 1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2A2D0B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1B31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All teams will be notified within 48 hrs. of the application deadline </w:t>
            </w:r>
            <w:r w:rsidR="00F531EA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receipt of application (whichever is latest) 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to their status. Teams that are not accepted will </w:t>
            </w:r>
            <w:r w:rsidR="00F531EA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be given the option to have their complete application returned or to be placed on the waiting list.</w:t>
            </w:r>
          </w:p>
        </w:tc>
      </w:tr>
      <w:tr w:rsidR="00472D57" w:rsidRPr="00BE6AF8" w14:paraId="1C8B1B2F" w14:textId="77777777" w:rsidTr="001C6020">
        <w:tc>
          <w:tcPr>
            <w:tcW w:w="1543" w:type="dxa"/>
          </w:tcPr>
          <w:p w14:paraId="29F90700" w14:textId="77777777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9257" w:type="dxa"/>
          </w:tcPr>
          <w:p w14:paraId="518E4658" w14:textId="77777777" w:rsidR="00222CA8" w:rsidRPr="00BE6AF8" w:rsidRDefault="00222CA8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Mail regional check payable to AYSO Region 180 Winter Classic</w:t>
            </w:r>
          </w:p>
          <w:p w14:paraId="5A2D7269" w14:textId="4FD3ADA3" w:rsidR="00472D57" w:rsidRPr="00BE6AF8" w:rsidRDefault="00472D57" w:rsidP="00975F80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Tournament </w:t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22CA8"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Winter Classic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75F80">
              <w:rPr>
                <w:rFonts w:ascii="Arial" w:hAnsi="Arial" w:cs="Arial"/>
                <w:b/>
                <w:bCs/>
                <w:sz w:val="20"/>
                <w:szCs w:val="20"/>
              </w:rPr>
              <w:t>PO Box 544</w:t>
            </w: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75F80">
              <w:rPr>
                <w:rFonts w:ascii="Arial" w:hAnsi="Arial" w:cs="Arial"/>
                <w:b/>
                <w:bCs/>
                <w:sz w:val="20"/>
                <w:szCs w:val="20"/>
              </w:rPr>
              <w:t>Buellton, CA 93427</w:t>
            </w:r>
          </w:p>
        </w:tc>
      </w:tr>
      <w:tr w:rsidR="00472D57" w:rsidRPr="001C6020" w14:paraId="76CAD520" w14:textId="77777777" w:rsidTr="001C6020">
        <w:trPr>
          <w:trHeight w:val="918"/>
        </w:trPr>
        <w:tc>
          <w:tcPr>
            <w:tcW w:w="1543" w:type="dxa"/>
          </w:tcPr>
          <w:p w14:paraId="1F9EA947" w14:textId="5D2378E3" w:rsidR="00472D57" w:rsidRPr="00BE6AF8" w:rsidRDefault="00472D57" w:rsidP="005B558D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AF8">
              <w:rPr>
                <w:rFonts w:ascii="Arial" w:hAnsi="Arial" w:cs="Arial"/>
                <w:b/>
                <w:bCs/>
                <w:sz w:val="20"/>
                <w:szCs w:val="20"/>
              </w:rPr>
              <w:t>Information:</w:t>
            </w:r>
          </w:p>
        </w:tc>
        <w:tc>
          <w:tcPr>
            <w:tcW w:w="9257" w:type="dxa"/>
          </w:tcPr>
          <w:p w14:paraId="24D0BC0C" w14:textId="23BCB531" w:rsidR="00472D57" w:rsidRPr="001C6020" w:rsidRDefault="001C6020" w:rsidP="00570F23">
            <w:pPr>
              <w:tabs>
                <w:tab w:val="left" w:pos="1440"/>
              </w:tabs>
              <w:spacing w:after="1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C602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Angie Owens</w:t>
            </w:r>
            <w:r w:rsidR="00472D57" w:rsidRPr="001C602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br/>
            </w:r>
            <w:proofErr w:type="gramStart"/>
            <w:r w:rsidR="00472D57" w:rsidRPr="001C602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E-mail</w:t>
            </w:r>
            <w:proofErr w:type="gramEnd"/>
            <w:r w:rsidR="00472D57" w:rsidRPr="001C602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1C6020">
              <w:rPr>
                <w:rStyle w:val="Hyperlink"/>
                <w:lang w:val="fr-FR"/>
              </w:rPr>
              <w:t>180winterclassic@</w:t>
            </w:r>
            <w:r w:rsidRPr="001C6020">
              <w:rPr>
                <w:rStyle w:val="Hyperlink"/>
              </w:rPr>
              <w:t>gmail.com</w:t>
            </w:r>
            <w:r w:rsidR="00472D57" w:rsidRPr="001C602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br/>
              <w:t xml:space="preserve">Web site </w:t>
            </w:r>
            <w:hyperlink r:id="rId8" w:history="1">
              <w:r w:rsidR="00222CA8" w:rsidRPr="001C602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w</w:t>
              </w:r>
              <w:r w:rsidR="00222CA8" w:rsidRPr="001C6020">
                <w:rPr>
                  <w:rStyle w:val="Hyperlink"/>
                  <w:b/>
                  <w:bCs/>
                  <w:lang w:val="fr-FR"/>
                </w:rPr>
                <w:t>ww.aysosyv.org</w:t>
              </w:r>
            </w:hyperlink>
          </w:p>
        </w:tc>
      </w:tr>
    </w:tbl>
    <w:p w14:paraId="3C1CF7F3" w14:textId="77777777" w:rsidR="00472D57" w:rsidRPr="001C6020" w:rsidRDefault="00472D57" w:rsidP="00435C33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sectPr w:rsidR="00472D57" w:rsidRPr="001C6020" w:rsidSect="00746C72">
      <w:footerReference w:type="default" r:id="rId9"/>
      <w:pgSz w:w="12240" w:h="15840"/>
      <w:pgMar w:top="18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07CA" w14:textId="77777777" w:rsidR="00F31D56" w:rsidRDefault="00F31D56">
      <w:r>
        <w:separator/>
      </w:r>
    </w:p>
  </w:endnote>
  <w:endnote w:type="continuationSeparator" w:id="0">
    <w:p w14:paraId="3EC625D4" w14:textId="77777777" w:rsidR="00F31D56" w:rsidRDefault="00F3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12E7" w14:textId="5ECE449D" w:rsidR="002F7D26" w:rsidRPr="0016632D" w:rsidRDefault="002F7D26" w:rsidP="0016632D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16632D">
      <w:rPr>
        <w:rFonts w:ascii="Arial" w:hAnsi="Arial" w:cs="Arial"/>
        <w:sz w:val="20"/>
        <w:szCs w:val="20"/>
      </w:rPr>
      <w:t>TC-</w:t>
    </w:r>
    <w:r w:rsidR="00F27B12">
      <w:rPr>
        <w:rFonts w:ascii="Arial" w:hAnsi="Arial" w:cs="Arial"/>
        <w:sz w:val="20"/>
        <w:szCs w:val="20"/>
      </w:rPr>
      <w:t>120 Rev 1.02</w:t>
    </w:r>
    <w:r w:rsidRPr="0016632D">
      <w:rPr>
        <w:rFonts w:ascii="Arial" w:hAnsi="Arial" w:cs="Arial"/>
        <w:sz w:val="20"/>
        <w:szCs w:val="20"/>
      </w:rPr>
      <w:tab/>
    </w:r>
    <w:r w:rsidR="0027471E">
      <w:rPr>
        <w:rFonts w:ascii="Arial" w:hAnsi="Arial" w:cs="Arial"/>
        <w:sz w:val="20"/>
        <w:szCs w:val="20"/>
      </w:rPr>
      <w:t>Rev 10</w:t>
    </w:r>
    <w:r w:rsidR="00F27B12">
      <w:rPr>
        <w:rFonts w:ascii="Arial" w:hAnsi="Arial" w:cs="Arial"/>
        <w:sz w:val="20"/>
        <w:szCs w:val="20"/>
      </w:rPr>
      <w:t>/</w:t>
    </w:r>
    <w:r w:rsidR="0027471E">
      <w:rPr>
        <w:rFonts w:ascii="Arial" w:hAnsi="Arial" w:cs="Arial"/>
        <w:sz w:val="20"/>
        <w:szCs w:val="20"/>
      </w:rPr>
      <w:t>31</w:t>
    </w:r>
    <w:r w:rsidR="00F27B12">
      <w:rPr>
        <w:rFonts w:ascii="Arial" w:hAnsi="Arial" w:cs="Arial"/>
        <w:sz w:val="20"/>
        <w:szCs w:val="20"/>
      </w:rPr>
      <w:t>/</w:t>
    </w:r>
    <w:r w:rsidR="0027471E">
      <w:rPr>
        <w:rFonts w:ascii="Arial" w:hAnsi="Arial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2407" w14:textId="77777777" w:rsidR="00F31D56" w:rsidRDefault="00F31D56">
      <w:r>
        <w:separator/>
      </w:r>
    </w:p>
  </w:footnote>
  <w:footnote w:type="continuationSeparator" w:id="0">
    <w:p w14:paraId="65950267" w14:textId="77777777" w:rsidR="00F31D56" w:rsidRDefault="00F3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E2"/>
    <w:rsid w:val="000C26E2"/>
    <w:rsid w:val="00117176"/>
    <w:rsid w:val="001308C4"/>
    <w:rsid w:val="00131291"/>
    <w:rsid w:val="0016632D"/>
    <w:rsid w:val="001B0097"/>
    <w:rsid w:val="001B3171"/>
    <w:rsid w:val="001B3281"/>
    <w:rsid w:val="001C6020"/>
    <w:rsid w:val="001D5325"/>
    <w:rsid w:val="001E37AC"/>
    <w:rsid w:val="00222CA8"/>
    <w:rsid w:val="00263478"/>
    <w:rsid w:val="0027471E"/>
    <w:rsid w:val="002A2D0B"/>
    <w:rsid w:val="002F7D26"/>
    <w:rsid w:val="00312B8C"/>
    <w:rsid w:val="003A2FE2"/>
    <w:rsid w:val="00415F1B"/>
    <w:rsid w:val="00435C33"/>
    <w:rsid w:val="004413E5"/>
    <w:rsid w:val="004516B1"/>
    <w:rsid w:val="00472D57"/>
    <w:rsid w:val="004F5D1D"/>
    <w:rsid w:val="00570F23"/>
    <w:rsid w:val="00574B45"/>
    <w:rsid w:val="00574BD1"/>
    <w:rsid w:val="0059029A"/>
    <w:rsid w:val="005B558D"/>
    <w:rsid w:val="005C65A2"/>
    <w:rsid w:val="006272A2"/>
    <w:rsid w:val="00636B28"/>
    <w:rsid w:val="006660CA"/>
    <w:rsid w:val="00746C72"/>
    <w:rsid w:val="00754926"/>
    <w:rsid w:val="007833C5"/>
    <w:rsid w:val="007928B4"/>
    <w:rsid w:val="007A00A3"/>
    <w:rsid w:val="007F6519"/>
    <w:rsid w:val="00817FB5"/>
    <w:rsid w:val="008C5706"/>
    <w:rsid w:val="0090686F"/>
    <w:rsid w:val="00975F80"/>
    <w:rsid w:val="00980CBF"/>
    <w:rsid w:val="009A05E9"/>
    <w:rsid w:val="00A56A1C"/>
    <w:rsid w:val="00AF0676"/>
    <w:rsid w:val="00B13635"/>
    <w:rsid w:val="00B2066C"/>
    <w:rsid w:val="00B60D36"/>
    <w:rsid w:val="00B67F53"/>
    <w:rsid w:val="00B86E7F"/>
    <w:rsid w:val="00BA3393"/>
    <w:rsid w:val="00BD31A4"/>
    <w:rsid w:val="00BE6AF8"/>
    <w:rsid w:val="00BE6E49"/>
    <w:rsid w:val="00C32CA7"/>
    <w:rsid w:val="00CA2CD1"/>
    <w:rsid w:val="00CF0ADD"/>
    <w:rsid w:val="00D07E8F"/>
    <w:rsid w:val="00E42410"/>
    <w:rsid w:val="00E81292"/>
    <w:rsid w:val="00F038B9"/>
    <w:rsid w:val="00F14652"/>
    <w:rsid w:val="00F27B12"/>
    <w:rsid w:val="00F31D56"/>
    <w:rsid w:val="00F531EA"/>
    <w:rsid w:val="00F64771"/>
    <w:rsid w:val="00F65D6B"/>
    <w:rsid w:val="00FC4DFC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3D401"/>
  <w15:chartTrackingRefBased/>
  <w15:docId w15:val="{8F811CEA-79C2-429A-93C6-C6D9C11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7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2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6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32D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uiPriority w:val="99"/>
    <w:semiHidden/>
    <w:unhideWhenUsed/>
    <w:rsid w:val="00222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70F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sosyv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2708</CharactersWithSpaces>
  <SharedDoc>false</SharedDoc>
  <HLinks>
    <vt:vector size="12" baseType="variant"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http://www.aysosyv.org/</vt:lpwstr>
      </vt:variant>
      <vt:variant>
        <vt:lpwstr/>
      </vt:variant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mailto:areaqad@gmail.com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Rick Martin</dc:creator>
  <cp:keywords/>
  <dc:description/>
  <cp:lastModifiedBy>Angie Owens</cp:lastModifiedBy>
  <cp:revision>7</cp:revision>
  <cp:lastPrinted>2021-12-16T00:50:00Z</cp:lastPrinted>
  <dcterms:created xsi:type="dcterms:W3CDTF">2024-07-20T01:26:00Z</dcterms:created>
  <dcterms:modified xsi:type="dcterms:W3CDTF">2024-11-15T22:00:00Z</dcterms:modified>
</cp:coreProperties>
</file>